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ASGBC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Funding Guide AY22-23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Associated Student Government Budget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Please read through the entirety of this document before beginning the steps to request funding.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6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4x7xj9kqtmr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About ASGBC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18djmxtqrww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General Info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6f5x4khq3d1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Steps to Request Funds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inb2g86jnx1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1 - Qualified Organizations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qho5r28cq3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2 - EvRs (Event Registrations)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after="0" w:before="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unmmdjk0uhz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Latest Times to Submit EvRs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jt9d16l2qsf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3 - Funding Categories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after="0" w:before="0" w:line="240" w:lineRule="auto"/>
            <w:ind w:left="36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jfo0kq3st8h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Funding Notes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ljbgc1kra7c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Food Policies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jrfsc6telv8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4 - Submitting A Request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jbrzdzf8loj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5 - Accessing Your Funds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after="0" w:before="0" w:line="240" w:lineRule="auto"/>
            <w:ind w:left="0" w:firstLine="0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1155cc"/>
              <w:sz w:val="20"/>
              <w:szCs w:val="20"/>
              <w:u w:val="single"/>
              <w:shd w:fill="auto" w:val="clear"/>
              <w:vertAlign w:val="baseline"/>
            </w:rPr>
          </w:pPr>
          <w:hyperlink w:anchor="_heading=h.6y3sijw7t49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Other Information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after="0" w:line="240" w:lineRule="auto"/>
        <w:rPr/>
      </w:pPr>
      <w:bookmarkStart w:colFirst="0" w:colLast="0" w:name="_heading=h.4x7xj9kqtmr7" w:id="0"/>
      <w:bookmarkEnd w:id="0"/>
      <w:r w:rsidDel="00000000" w:rsidR="00000000" w:rsidRPr="00000000">
        <w:rPr>
          <w:rtl w:val="0"/>
        </w:rPr>
        <w:t xml:space="preserve">About ASGBC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Associated Student Government Budget Committee (ASGBC) is a student-run committee that reviews requests from undergraduate student orgs. A portion from the student activity fee gets allocated to ASGBC and the committee allocates the funding based on the needs of the student organizations.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heading=h.18djmxtqrwwi" w:id="1"/>
      <w:bookmarkEnd w:id="1"/>
      <w:r w:rsidDel="00000000" w:rsidR="00000000" w:rsidRPr="00000000">
        <w:rPr>
          <w:rtl w:val="0"/>
        </w:rPr>
        <w:t xml:space="preserve">General Info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ASGBC meets most Tuesdays during Torero Hours (12:15pm-2:15pm) through the academic year. Location and schedule are available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 is by invitation only. If required to present, you will be invited after submitting a funding request.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requirements and forms must be met and completed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before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submitting a funding request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Funding requests via Torero Orgs are due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 least 3 weeks prior to the date of the event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see the timelines below for more detailed information. Larger events or ones with special requirements will need to be requested earlier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after="0" w:line="240" w:lineRule="auto"/>
        <w:rPr/>
      </w:pPr>
      <w:bookmarkStart w:colFirst="0" w:colLast="0" w:name="_heading=h.6f5x4khq3d1w" w:id="2"/>
      <w:bookmarkEnd w:id="2"/>
      <w:r w:rsidDel="00000000" w:rsidR="00000000" w:rsidRPr="00000000">
        <w:rPr>
          <w:rtl w:val="0"/>
        </w:rPr>
        <w:t xml:space="preserve">Steps to Request 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following must be done in the order listed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Become a registered student organization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an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EvR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Determine what funding category you will be requesting under (see: Funding Categories) &amp; submit a funding request on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Torero Orgs</w:t>
        </w:r>
      </w:hyperlink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your total request is $250 or more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not for a GBM you will need to have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representative present your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funding request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 an ASGBC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GBMs and all other requests under $250 do not require a presentation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Receive Funding Allocation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Funding decisions will be emailed to requestor on Torero Orgs, typically within 48 hours of the last ASGBC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Information is also available on Torero Orgs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Access your funds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(See: Accessing your funds section)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/>
      </w:pPr>
      <w:bookmarkStart w:colFirst="0" w:colLast="0" w:name="_heading=h.inb2g86jnx1x" w:id="3"/>
      <w:bookmarkEnd w:id="3"/>
      <w:r w:rsidDel="00000000" w:rsidR="00000000" w:rsidRPr="00000000">
        <w:rPr>
          <w:rtl w:val="0"/>
        </w:rPr>
        <w:t xml:space="preserve">1 - </w:t>
      </w:r>
      <w:r w:rsidDel="00000000" w:rsidR="00000000" w:rsidRPr="00000000">
        <w:rPr>
          <w:rtl w:val="0"/>
        </w:rPr>
        <w:t xml:space="preserve">Qualified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  <w:b w:val="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Undergraduate clubs/organizations applying for funding must be an approved, registered organization.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 or Re-register your organization by following the steps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  <w:b w:val="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Sports teams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eligible to submit funding requests if they make it to the playoffs or regionals and have unforeseen expenses.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after="0" w:line="240" w:lineRule="auto"/>
        <w:rPr/>
      </w:pPr>
      <w:bookmarkStart w:colFirst="0" w:colLast="0" w:name="_heading=h.qho5r28cq3jn" w:id="4"/>
      <w:bookmarkEnd w:id="4"/>
      <w:r w:rsidDel="00000000" w:rsidR="00000000" w:rsidRPr="00000000">
        <w:rPr>
          <w:rtl w:val="0"/>
        </w:rPr>
        <w:t xml:space="preserve">2 - EvRs </w:t>
      </w:r>
      <w:r w:rsidDel="00000000" w:rsidR="00000000" w:rsidRPr="00000000">
        <w:rPr>
          <w:rtl w:val="0"/>
        </w:rPr>
        <w:t xml:space="preserve">(Event Registrations)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EvRs 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virtual event registrations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eligible to receive funding from ASGBC, an EvR must be submitted for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order to submit an EvR,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must complete the EvR training and be approved by the Student Affairs staff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training can be found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students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(no advisors or administrators) that are part of the organization can submit an EvR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EvRs must be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submitted under the student organization's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unmmdjk0uhz1" w:id="5"/>
      <w:bookmarkEnd w:id="5"/>
      <w:r w:rsidDel="00000000" w:rsidR="00000000" w:rsidRPr="00000000">
        <w:rPr>
          <w:rtl w:val="0"/>
        </w:rPr>
        <w:t xml:space="preserve">Latest Times to Submit EvRs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Due 3 weeks in advance: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On-campus events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On-campus meetings with additional services/components (guest speakers,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over $1000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minors in attendance, etc.)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line="240" w:lineRule="auto"/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any one food vendor is over $1000, we strongly recommend submitting an EvR and request to ASGBC at least 2 months in advance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Due 2 weeks in advance: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Virtual meetings/events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Off-campus events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Due 1 week in advance: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Simple meetings (meetings that only require a room reservation and have no additional components, like a GBM).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pacing w:after="0" w:line="240" w:lineRule="auto"/>
        <w:rPr/>
      </w:pPr>
      <w:bookmarkStart w:colFirst="0" w:colLast="0" w:name="_heading=h.jt9d16l2qsfv" w:id="6"/>
      <w:bookmarkEnd w:id="6"/>
      <w:r w:rsidDel="00000000" w:rsidR="00000000" w:rsidRPr="00000000">
        <w:rPr>
          <w:rtl w:val="0"/>
        </w:rPr>
        <w:t xml:space="preserve">3 - </w:t>
      </w:r>
      <w:r w:rsidDel="00000000" w:rsidR="00000000" w:rsidRPr="00000000">
        <w:rPr>
          <w:rtl w:val="0"/>
        </w:rPr>
        <w:t xml:space="preserve">Funding Categories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Please keep in mind that ASGBC uses its discretion to fund student organizations and requesting money does not guarantee funding.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All purchases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must follow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Sustainable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Purchasing Guidelines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which can be found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tbl>
      <w:tblPr>
        <w:tblStyle w:val="Table1"/>
        <w:tblW w:w="104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8625"/>
        <w:tblGridChange w:id="0">
          <w:tblGrid>
            <w:gridCol w:w="1800"/>
            <w:gridCol w:w="8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Funding Info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Body Meeting (GBM)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GBMs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organization meetings that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open to the entire student body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Orgs can be allocated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maximum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$6 per person registered on Torero Orgs for food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$1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increase per person for food ($7) can be allocated if purchased from local, small business, and/or BIPOC owned vendors.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However,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requests must be in line with expected attendance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For example, if you have 60 members but reasonably expect 30 people to attend a GBM, you should only request food for 30 people.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Orgs may initially request a max of 4 meetings per semester and then once all funds are used, an additional 3 may be requested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GBM funds do NOT roll over between semesters.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organizations submitting funding for GBMs will be guaranteed a minimum of $80 for food regardless of member count on Torero Orgs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organizations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65 members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or more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must track their General Body Meeting attendance utilizing Salesforce CRM. (iPad and card reader are available in the Creative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SLP302)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organizations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 than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65 members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must submit a photo of their sign-in sheet </w:t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will be submitted either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the GBM reimbursement paperwork or with the ASG credit card receipt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Events Open to the Entire Student 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These are non-GBM events open to the Entire Student Body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 are no restrictions on the amount that can be requested or funded for items other than food and entertainment.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maximum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$10 per person for food and entertainment can be allocated per event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$1 increase per person for food ($11) can be allocated if purchased from local, small business, and/or BIPOC owned vendors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Merchandise and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When requesting funding for marketing materials/merchandise, please provide a mock-up picture of the item with your request. If your materials include the USD logo, please be sure to only source from an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approved vendor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student organization that levies a due or membership fee will be permitted to submit a funding request for marketing purposes.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Merchandise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Examples: stoles, swag, merchandise, and apparel.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marketing/merchandise item (up to $15/person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academic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 each organization.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Organizations can make up to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additional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request per semester if they would like to request funding for graduation stoles and cords. However, these requests would still need to be within the overall $15 max per person per year.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Merchandise can be purchased for active current members only.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marketing category is intended for the Alcala Bazaar only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Funds can only be requested within the first 4 weeks of each semester. The maximum amount that can be allocated is $75 per semester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recommend using these funds for sustainable, long-lasting items</w:t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1"/>
              </w:numPr>
              <w:spacing w:after="0" w:line="240" w:lineRule="auto"/>
              <w:ind w:left="108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Ex: reusable branded tablecloths, signage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Money cannot be requested for meal-like food items (ex. pizza, sandwiches) but can be requested for smaller low-cost food items (ex. candy, cookies) at ASGBC’s discretion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Philanthropic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Philanthropic events are focused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charitable acts or other good works for a specific cause. Unlike fundraisers, their primary purpose is not to raise money.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Philanthropic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funding does not require reimbursement of funds to ASG.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Funds may only go to the event and cannot go directly to the philanthropy.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Fundraisers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Fundraisers are events that have the primary purpose of soliciting voluntary donations for a charity or organization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ASGBC will grant money for fundraisers to occur only in the capacity that ASG be refunded their total amount by the end of the semester.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Conventions, Conferences and Retreats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Registration fees can be fully funded, at the lowest plausible rate, per the discretion of the Budget Committee.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Travel and food costs will not be funded. Food costs may only be funded in the case it is included in the registration fee.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Lodging may not exceed $50 per person.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receive funding for a retreat, the organization must provide details regarding retreat information costs and turn it in along with the Budget Committee application 3 weeks in advance.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ASGBC does not fund conferences that coincide with mandatory educational department obligations (for example, if attendance at a conference is required by a minor or certificate program).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Conference funding will only be allocated for undergraduate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Educational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or off campus activities with the main focus of educational enrichment. Examples: museum visits, film festival, guest speakers)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Off-Campus: $0-$10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person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can be allocated.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On-Campus: $0-$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event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can be allocated.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Recognition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Examples: dinners, luncheons, and banquets.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Allocated up to $10 per undergraduate student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attendance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if payment is necessary for the student to attend.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Outreach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Less than 25%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total Budget Committee allocation from the Finance Committee will be awarded for outreach events.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Reimbursements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/ Retroactive Funding Requests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section is applicable for purchases made with personal funds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ASGBC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does not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recommend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paying for any items with the expectation of reimbursement as reimbursements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guaranteed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cannot be promised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These requests must be made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 more than 30 days after the event occurs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Conferences and retreats will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receive retroactive funding.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Conference or retreat requests should be made at least 2 weeks in advance </w:t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spacing w:after="0" w:line="240" w:lineRule="auto"/>
        <w:rPr/>
      </w:pPr>
      <w:bookmarkStart w:colFirst="0" w:colLast="0" w:name="_heading=h.jfo0kq3st8h6" w:id="7"/>
      <w:bookmarkEnd w:id="7"/>
      <w:r w:rsidDel="00000000" w:rsidR="00000000" w:rsidRPr="00000000">
        <w:rPr>
          <w:rtl w:val="0"/>
        </w:rPr>
        <w:t xml:space="preserve">Funding</w:t>
      </w:r>
      <w:r w:rsidDel="00000000" w:rsidR="00000000" w:rsidRPr="00000000">
        <w:rPr>
          <w:rtl w:val="0"/>
        </w:rPr>
        <w:t xml:space="preserve"> Notes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requests over $10,000 must be voted 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ASG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Senate. Requests will first go to ASGBC who will then make a recommendation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be required to present again at ASG Senate, in such a case that will be communicated to you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Strictly social gatherings will not be allocated funding.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requests for expenses other than events will be evaluated on a case-by-case basis.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Money may not be allocated for any gift giveaways, alcoholic beverages, or any drug-related items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paraphernalia.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Receipts for alcohol and such gifts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honored. 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situation in which gift fees will be granted is for a Speaker who did not receive an honorarium. This gift may not exceed $25.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spacing w:after="0" w:line="240" w:lineRule="auto"/>
        <w:rPr/>
      </w:pPr>
      <w:bookmarkStart w:colFirst="0" w:colLast="0" w:name="_heading=h.ljbgc1kra7c" w:id="8"/>
      <w:bookmarkEnd w:id="8"/>
      <w:r w:rsidDel="00000000" w:rsidR="00000000" w:rsidRPr="00000000">
        <w:rPr>
          <w:rtl w:val="0"/>
        </w:rPr>
        <w:t xml:space="preserve">Food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Organizations must follow all current USD health and otherwise applicable guidelines.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from off-campus vendors must be purchased from a vendor on the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approved vendors list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includes delivered food and picked up food - all food must be from an approved vendor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would like to have a vendor approved please contact the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Student Org Events Panel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an organization plans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spend $1000 or more on food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(including approved vendors), a representative from the club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required to visit the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Student Org Events Panel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further information on this approval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strongly recommend visiting the Panel at least 2 months in advance of your event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spacing w:after="0" w:line="240" w:lineRule="auto"/>
        <w:rPr/>
      </w:pPr>
      <w:bookmarkStart w:colFirst="0" w:colLast="0" w:name="_heading=h.jrfsc6telv89" w:id="9"/>
      <w:bookmarkEnd w:id="9"/>
      <w:r w:rsidDel="00000000" w:rsidR="00000000" w:rsidRPr="00000000">
        <w:rPr>
          <w:rtl w:val="0"/>
        </w:rPr>
        <w:t xml:space="preserve">4 - </w:t>
      </w:r>
      <w:r w:rsidDel="00000000" w:rsidR="00000000" w:rsidRPr="00000000">
        <w:rPr>
          <w:rtl w:val="0"/>
        </w:rPr>
        <w:t xml:space="preserve">Submitting A Request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ASGBC meets most Tuesdays during the academic year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Please submit funding requests by Friday at 8am if you would like your funding request to be reviewed for that following Tuesday.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Requests submitted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 on Friday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will not be reviewed until the Tuesday following next (2 weeks later)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after="0" w:line="240" w:lineRule="auto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review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one funding request per event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Please ensure that the funding request you submit for an event is comprehensive of all aspects needed to be funded 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committee will not review additional requests for the same event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rPr/>
      </w:pPr>
      <w:bookmarkStart w:colFirst="0" w:colLast="0" w:name="_heading=h.jbrzdzf8lojs" w:id="10"/>
      <w:bookmarkEnd w:id="10"/>
      <w:r w:rsidDel="00000000" w:rsidR="00000000" w:rsidRPr="00000000">
        <w:rPr>
          <w:rtl w:val="0"/>
        </w:rPr>
        <w:t xml:space="preserve">5 - </w:t>
      </w:r>
      <w:r w:rsidDel="00000000" w:rsidR="00000000" w:rsidRPr="00000000">
        <w:rPr>
          <w:rtl w:val="0"/>
        </w:rPr>
        <w:t xml:space="preserve">Accessing Your Funds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Once your ASGBC funding request is approved, there are several ways you can access the funds.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ASGBC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strongly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recommends taking a photo of any any all receipts for purchases.</w:t>
      </w:r>
    </w:p>
    <w:p w:rsidR="00000000" w:rsidDel="00000000" w:rsidP="00000000" w:rsidRDefault="00000000" w:rsidRPr="00000000" w14:paraId="0000009A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ASG Credit 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pay for items using the ASG credit card, please fill out an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ASG Credit Card Request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then stop by SLP 308 to meet with an Involvement Consultant (ICs) to make your purchase. </w:t>
      </w:r>
    </w:p>
    <w:p w:rsidR="00000000" w:rsidDel="00000000" w:rsidP="00000000" w:rsidRDefault="00000000" w:rsidRPr="00000000" w14:paraId="0000009D">
      <w:pPr>
        <w:numPr>
          <w:ilvl w:val="1"/>
          <w:numId w:val="10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Involvement Consultants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are available Monday-Thursday from 9:30am-7pm and Fridays from 9:30am-5pm. You can also contact the ICs at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usdinvolvement@gmail.com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with any questions you may have.</w:t>
      </w:r>
    </w:p>
    <w:p w:rsidR="00000000" w:rsidDel="00000000" w:rsidP="00000000" w:rsidRDefault="00000000" w:rsidRPr="00000000" w14:paraId="0000009E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credit card can only be used to purchase goods,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delivered or picked up food,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gift cards. </w:t>
      </w:r>
    </w:p>
    <w:p w:rsidR="00000000" w:rsidDel="00000000" w:rsidP="00000000" w:rsidRDefault="00000000" w:rsidRPr="00000000" w14:paraId="0000009F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credit card cannot be used to pay for services (DJs, professional speakers, food service, etc.)</w:t>
      </w:r>
    </w:p>
    <w:p w:rsidR="00000000" w:rsidDel="00000000" w:rsidP="00000000" w:rsidRDefault="00000000" w:rsidRPr="00000000" w14:paraId="000000A0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Gift card can be a maximum of $25 per person</w:t>
      </w:r>
    </w:p>
    <w:p w:rsidR="00000000" w:rsidDel="00000000" w:rsidP="00000000" w:rsidRDefault="00000000" w:rsidRPr="00000000" w14:paraId="000000A1">
      <w:pPr>
        <w:numPr>
          <w:ilvl w:val="1"/>
          <w:numId w:val="10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gift cards must be purchased using a university credit card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Gift cards purchased using individual funds are not eligible for reimbursement.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Reimbursement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submit a reimbursement request, please complete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this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A5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list of required back-up documentation is available in the bottom portion of the form.</w:t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Back-up documentation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submitted through the form – pictures of receipts are acceptable.</w:t>
      </w:r>
    </w:p>
    <w:p w:rsidR="00000000" w:rsidDel="00000000" w:rsidP="00000000" w:rsidRDefault="00000000" w:rsidRPr="00000000" w14:paraId="000000A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Gift cards purchased using personal funds are not eligible for reimbursement. </w:t>
      </w:r>
    </w:p>
    <w:p w:rsidR="00000000" w:rsidDel="00000000" w:rsidP="00000000" w:rsidRDefault="00000000" w:rsidRPr="00000000" w14:paraId="000000A8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Reimbursements typically take 3-4 weeks for processing.</w:t>
      </w:r>
    </w:p>
    <w:p w:rsidR="00000000" w:rsidDel="00000000" w:rsidP="00000000" w:rsidRDefault="00000000" w:rsidRPr="00000000" w14:paraId="000000A9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Pay Vendor Via Check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submit a check request, please complete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this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AC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list of required back-up documentation is available in the bottom portion of the form.</w:t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Back-up documentation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submitted through the form.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Checks typically take 10-14 business days for processing.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20" w:line="252.00000000000003" w:lineRule="auto"/>
        <w:ind w:left="0" w:right="2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Journal Entries/Department Transfers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spacing w:after="0" w:before="0" w:line="252.00000000000003" w:lineRule="auto"/>
        <w:ind w:left="720" w:right="2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Journal entries are not encouraged. 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after="0" w:before="0" w:line="252.00000000000003" w:lineRule="auto"/>
        <w:ind w:left="720" w:right="2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are working with an on-campus department, please have them reach out to Madeline Kreig (mkreig@sandiego.edu) prior to expending the charges, so they can charge the ASG grants budget directly.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spacing w:after="0" w:line="240" w:lineRule="auto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6y3sijw7t49o" w:id="11"/>
      <w:bookmarkEnd w:id="11"/>
      <w:r w:rsidDel="00000000" w:rsidR="00000000" w:rsidRPr="00000000">
        <w:rPr>
          <w:vertAlign w:val="baseline"/>
          <w:rtl w:val="0"/>
        </w:rPr>
        <w:t xml:space="preserve">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would like to appeal a Budget Committee decision, please fill out the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ASGBC Appeal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Funds that are granted to a club/organization that 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not used by that group revert back to the general budget of the Budget Committee.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All items purchased using ASGBC funds are the property of ASGBC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Clubs must report where they plan to store all items purchased (storage must be on campus). ASGBC has the right to request the use of these items at any time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receipts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for monies paid 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are to be returned to the Controller within 14 days of the funded event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Non-compliance and failure to do so may result in a denial of reimbursement or removal of funding privileges.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Can’t find a form or link? Sign in to the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EMS website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look at the left sidebar for more resources.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Questions? Contact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asgfinance@sandiego.com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Ashley Jabro,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Finance Chair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Jordan Olhava,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Controller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updated as of September 7, 2022</w:t>
      </w: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a detailed guide on how to apply for funding check out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this video</w:t>
        </w:r>
      </w:hyperlink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According to ASG Constitution via Senate approval</w:t>
      </w:r>
    </w:p>
  </w:footnote>
  <w:footnote w:id="3"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Please note that submitting for ASGBC funding should be done at least 3 weeks before the event. This EvR time listing includes events that do not require ASGBC funding</w:t>
      </w:r>
    </w:p>
  </w:footnote>
  <w:footnote w:id="1">
    <w:p w:rsidR="00000000" w:rsidDel="00000000" w:rsidP="00000000" w:rsidRDefault="00000000" w:rsidRPr="00000000" w14:paraId="000000C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will be invited to a specific meeting after submitting a request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AY22-23 ASGBC Funding Guide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Times New Roman" w:cs="Times New Roman" w:eastAsia="Times New Roman" w:hAnsi="Times New Roman"/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C073B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3C073B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52B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563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031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0311D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031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0311D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0311D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311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311D"/>
    <w:rPr>
      <w:rFonts w:ascii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andiego.edu/involvement/get-involved/involvement-consultants.php" TargetMode="External"/><Relationship Id="rId22" Type="http://schemas.openxmlformats.org/officeDocument/2006/relationships/hyperlink" Target="https://usd.tfaforms.net/218477%20" TargetMode="External"/><Relationship Id="rId21" Type="http://schemas.openxmlformats.org/officeDocument/2006/relationships/hyperlink" Target="mailto:usdinvolvement@gmail.com" TargetMode="External"/><Relationship Id="rId24" Type="http://schemas.openxmlformats.org/officeDocument/2006/relationships/hyperlink" Target="https://docs.google.com/forms/d/e/1FAIpQLSd9TLHZtA_0Yk-GRglPQFfWL4kvtFa941FJSFNWR-O3gP5f0w/viewform?c=0&amp;w=1" TargetMode="External"/><Relationship Id="rId23" Type="http://schemas.openxmlformats.org/officeDocument/2006/relationships/hyperlink" Target="https://usd.tfaforms.net/218477%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eservations.sandiego.edu/EmsWebApp/" TargetMode="External"/><Relationship Id="rId26" Type="http://schemas.openxmlformats.org/officeDocument/2006/relationships/hyperlink" Target="mailto:asgfinance@sandiego.com" TargetMode="External"/><Relationship Id="rId25" Type="http://schemas.openxmlformats.org/officeDocument/2006/relationships/hyperlink" Target="http://ems.sandiego.edu/EmsWebApp/" TargetMode="External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sandiego.edu/associated-student-government/finance/budget-committee.php" TargetMode="External"/><Relationship Id="rId11" Type="http://schemas.openxmlformats.org/officeDocument/2006/relationships/hyperlink" Target="https://www.sandiego.edu/involvement/student-orgs/club-registration/" TargetMode="External"/><Relationship Id="rId10" Type="http://schemas.openxmlformats.org/officeDocument/2006/relationships/hyperlink" Target="http://sandiego.edu/toreroorgs" TargetMode="External"/><Relationship Id="rId13" Type="http://schemas.openxmlformats.org/officeDocument/2006/relationships/hyperlink" Target="https://docs.google.com/document/d/1-sleptlyY_3KB0fPlEab2vqWfqbLh6NqJ2MB0M-CQaM/edit?usp=sharing" TargetMode="External"/><Relationship Id="rId12" Type="http://schemas.openxmlformats.org/officeDocument/2006/relationships/hyperlink" Target="https://forms.gle/P1aMiZpCVpApWnkr7" TargetMode="External"/><Relationship Id="rId15" Type="http://schemas.openxmlformats.org/officeDocument/2006/relationships/hyperlink" Target="https://docs.google.com/document/d/1zlxU_j32Jgj9xISqOT9kEH8c1j_3Jo1vxbhwrpRo7GE/edit" TargetMode="External"/><Relationship Id="rId14" Type="http://schemas.openxmlformats.org/officeDocument/2006/relationships/hyperlink" Target="https://docs.google.com/document/d/1yudIP-18TqCcBNFMquJHiS8e4zO1h1GR4OzIsO3TLKU/edit?usp=sharing" TargetMode="External"/><Relationship Id="rId17" Type="http://schemas.openxmlformats.org/officeDocument/2006/relationships/hyperlink" Target="https://www.sandiego.edu/involvement/event-registration/student-org-events-panel.php" TargetMode="External"/><Relationship Id="rId16" Type="http://schemas.openxmlformats.org/officeDocument/2006/relationships/hyperlink" Target="https://www.sandiego.edu/involvement/event-registration/student-org-events-panel.php" TargetMode="External"/><Relationship Id="rId19" Type="http://schemas.openxmlformats.org/officeDocument/2006/relationships/hyperlink" Target="https://forms.gle/DmKn3Y61BW83Wz5S7" TargetMode="External"/><Relationship Id="rId18" Type="http://schemas.openxmlformats.org/officeDocument/2006/relationships/hyperlink" Target="https://forms.gle/DmKn3Y61BW83Wz5S7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youtube.com/watch?v=temAZYF_8zY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ngd3ddCtPoox/woh5F2D/uthpA==">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2019-09-12T00:55:00Z</dcterms:created>
  <dc:creator>Madeline C Kreig</dc:creator>
</cp:coreProperties>
</file>